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51C3" w14:textId="77777777" w:rsidR="0082638A" w:rsidRPr="0082638A" w:rsidRDefault="0082638A" w:rsidP="0082638A">
      <w:pPr>
        <w:rPr>
          <w:rFonts w:ascii="Montserrat" w:eastAsia="Calibri" w:hAnsi="Montserrat" w:cs="Calibri"/>
          <w:b/>
          <w:bCs/>
          <w:sz w:val="22"/>
          <w:szCs w:val="22"/>
          <w:lang w:eastAsia="en-GB"/>
        </w:rPr>
      </w:pPr>
      <w:r w:rsidRPr="0082638A">
        <w:rPr>
          <w:rFonts w:ascii="Montserrat" w:eastAsia="Calibri" w:hAnsi="Montserrat" w:cs="Calibri"/>
          <w:b/>
          <w:bCs/>
          <w:sz w:val="22"/>
          <w:szCs w:val="22"/>
          <w:lang w:eastAsia="en-GB"/>
        </w:rPr>
        <w:t xml:space="preserve">Public Value/Benefit Statement </w:t>
      </w:r>
    </w:p>
    <w:p w14:paraId="49F7A119" w14:textId="77777777" w:rsidR="0082638A" w:rsidRPr="0082638A" w:rsidRDefault="0082638A" w:rsidP="0082638A">
      <w:pPr>
        <w:rPr>
          <w:rFonts w:ascii="Montserrat" w:eastAsia="Calibri" w:hAnsi="Montserrat" w:cs="Calibri"/>
          <w:lang w:eastAsia="en-GB"/>
        </w:rPr>
      </w:pPr>
      <w:r w:rsidRPr="0082638A">
        <w:rPr>
          <w:rFonts w:ascii="Montserrat" w:eastAsia="Calibri" w:hAnsi="Montserrat" w:cs="Calibri"/>
          <w:lang w:eastAsia="en-GB"/>
        </w:rPr>
        <w:t xml:space="preserve">Petroc is committed to driving forward educational success in further and higher education. We will raise the aspirations, knowledge and skills of individuals, communities and business in Devon and beyond. </w:t>
      </w:r>
    </w:p>
    <w:p w14:paraId="3BEC0E47" w14:textId="77777777" w:rsidR="0082638A" w:rsidRPr="0082638A" w:rsidRDefault="0082638A" w:rsidP="0082638A">
      <w:pPr>
        <w:rPr>
          <w:rFonts w:ascii="Montserrat" w:eastAsia="Calibri" w:hAnsi="Montserrat" w:cs="Calibri"/>
          <w:lang w:eastAsia="en-GB"/>
        </w:rPr>
      </w:pPr>
      <w:r w:rsidRPr="0082638A">
        <w:rPr>
          <w:rFonts w:ascii="Montserrat" w:eastAsia="Calibri" w:hAnsi="Montserrat" w:cs="Calibri"/>
          <w:lang w:eastAsia="en-GB"/>
        </w:rPr>
        <w:t xml:space="preserve">Petroc will enable the highest levels of learner achievement and the highest levels of career and life fulfilment. Excellence is what customers, businesses and other organisations can expect to achieve themselves through working with the College. </w:t>
      </w:r>
    </w:p>
    <w:p w14:paraId="69EC9D98" w14:textId="77777777" w:rsidR="0082638A" w:rsidRPr="0082638A" w:rsidRDefault="0082638A" w:rsidP="0082638A">
      <w:pPr>
        <w:rPr>
          <w:rFonts w:ascii="Montserrat" w:eastAsia="Calibri" w:hAnsi="Montserrat" w:cs="Calibri"/>
          <w:lang w:eastAsia="en-GB"/>
        </w:rPr>
      </w:pPr>
      <w:r w:rsidRPr="0082638A">
        <w:rPr>
          <w:rFonts w:ascii="Montserrat" w:eastAsia="Calibri" w:hAnsi="Montserrat" w:cs="Calibri"/>
          <w:lang w:eastAsia="en-GB"/>
        </w:rPr>
        <w:t xml:space="preserve">The College sets out its aims and objectives through our strategic plan ‘Petroc 2025’. </w:t>
      </w:r>
    </w:p>
    <w:p w14:paraId="3566CE53" w14:textId="77777777" w:rsidR="0082638A" w:rsidRPr="0082638A" w:rsidRDefault="0082638A" w:rsidP="0082638A">
      <w:pPr>
        <w:rPr>
          <w:rFonts w:ascii="Montserrat" w:eastAsia="Calibri" w:hAnsi="Montserrat" w:cs="Calibri"/>
          <w:lang w:eastAsia="en-GB"/>
        </w:rPr>
      </w:pPr>
      <w:r w:rsidRPr="0082638A">
        <w:rPr>
          <w:rFonts w:ascii="Montserrat" w:eastAsia="Calibri" w:hAnsi="Montserrat" w:cs="Calibri"/>
          <w:lang w:eastAsia="en-GB"/>
        </w:rPr>
        <w:t xml:space="preserve">We are extremely passionate to support, create and sustain businesses through a range of business services. We will support local businesses and entrepreneurs to innovate, exchanging knowledge and promoting the application of best practice in the firms it works with, in addition to the development of skills, education, training and apprenticeships. </w:t>
      </w:r>
    </w:p>
    <w:p w14:paraId="44061487" w14:textId="77777777" w:rsidR="0082638A" w:rsidRPr="0082638A" w:rsidRDefault="0082638A" w:rsidP="0082638A">
      <w:pPr>
        <w:rPr>
          <w:rFonts w:ascii="Montserrat" w:eastAsia="Calibri" w:hAnsi="Montserrat" w:cs="Calibri"/>
          <w:lang w:eastAsia="en-GB"/>
        </w:rPr>
      </w:pPr>
      <w:r w:rsidRPr="0082638A">
        <w:rPr>
          <w:rFonts w:ascii="Montserrat" w:eastAsia="Calibri" w:hAnsi="Montserrat" w:cs="Calibri"/>
          <w:lang w:eastAsia="en-GB"/>
        </w:rPr>
        <w:t xml:space="preserve">In line with strategic economic plans for the wider area, we will continue to play a leading role with partners in working to sustain the health, happiness and prosperity of its communities, through contributing strategically and operationally to the implementation of local and regional plans. </w:t>
      </w:r>
    </w:p>
    <w:p w14:paraId="384E58BC" w14:textId="25221914" w:rsidR="0082638A" w:rsidRPr="0082638A" w:rsidRDefault="0082638A" w:rsidP="0082638A">
      <w:pPr>
        <w:rPr>
          <w:rFonts w:ascii="Montserrat" w:eastAsia="Calibri" w:hAnsi="Montserrat" w:cs="Calibri"/>
          <w:lang w:eastAsia="en-GB"/>
        </w:rPr>
      </w:pPr>
      <w:r w:rsidRPr="0082638A">
        <w:rPr>
          <w:rFonts w:ascii="Montserrat" w:eastAsia="Calibri" w:hAnsi="Montserrat" w:cs="Calibri"/>
          <w:lang w:eastAsia="en-GB"/>
        </w:rPr>
        <w:t xml:space="preserve">As a significantly sized organisation we will impact on current practices and the growth of the green economy through our connections to employers, learners and communities across the Southwest. We will establish our commitment to the UN Sustainable Development Goals through our practices and curriculum design. </w:t>
      </w:r>
    </w:p>
    <w:p w14:paraId="0BE024B4" w14:textId="56FCB27F" w:rsidR="0082638A" w:rsidRDefault="0082638A" w:rsidP="0082638A">
      <w:pPr>
        <w:rPr>
          <w:rFonts w:ascii="Montserrat" w:eastAsia="Calibri" w:hAnsi="Montserrat" w:cs="Calibri"/>
          <w:lang w:eastAsia="en-GB"/>
        </w:rPr>
      </w:pPr>
      <w:r w:rsidRPr="0082638A">
        <w:rPr>
          <w:rFonts w:ascii="Montserrat" w:eastAsia="Calibri" w:hAnsi="Montserrat" w:cs="Calibri"/>
          <w:lang w:eastAsia="en-GB"/>
        </w:rPr>
        <w:t>To achieve this, we aim to continue our effective dialogue and relationships with all stakeholders to plan our delivery to meet the needs of our communities and to ensure that information on the activities and aspirations of the College is made widely available and reported on annually to our communities.</w:t>
      </w:r>
    </w:p>
    <w:sectPr w:rsidR="008263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9933D" w14:textId="77777777" w:rsidR="00362214" w:rsidRDefault="00362214" w:rsidP="00C5047E">
      <w:pPr>
        <w:spacing w:after="0" w:line="240" w:lineRule="auto"/>
      </w:pPr>
      <w:r>
        <w:separator/>
      </w:r>
    </w:p>
  </w:endnote>
  <w:endnote w:type="continuationSeparator" w:id="0">
    <w:p w14:paraId="32E21C35" w14:textId="77777777" w:rsidR="00362214" w:rsidRDefault="00362214" w:rsidP="00C5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top w:w="15" w:type="dxa"/>
        <w:left w:w="15" w:type="dxa"/>
        <w:bottom w:w="15" w:type="dxa"/>
        <w:right w:w="15" w:type="dxa"/>
      </w:tblCellMar>
      <w:tblLook w:val="04A0" w:firstRow="1" w:lastRow="0" w:firstColumn="1" w:lastColumn="0" w:noHBand="0" w:noVBand="1"/>
    </w:tblPr>
    <w:tblGrid>
      <w:gridCol w:w="4390"/>
      <w:gridCol w:w="4252"/>
    </w:tblGrid>
    <w:tr w:rsidR="003431AD" w:rsidRPr="003431AD" w14:paraId="02B797A0" w14:textId="77777777" w:rsidTr="003431AD">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B7C4C" w14:textId="176A923A" w:rsidR="003431AD" w:rsidRPr="003431AD" w:rsidRDefault="003431AD" w:rsidP="003431AD">
          <w:pPr>
            <w:pStyle w:val="Footer"/>
            <w:rPr>
              <w:rFonts w:ascii="Montserrat" w:hAnsi="Montserrat"/>
              <w:sz w:val="16"/>
              <w:szCs w:val="16"/>
            </w:rPr>
          </w:pPr>
          <w:r w:rsidRPr="003431AD">
            <w:rPr>
              <w:rFonts w:ascii="Montserrat" w:hAnsi="Montserrat"/>
              <w:sz w:val="16"/>
              <w:szCs w:val="16"/>
            </w:rPr>
            <w:t>Public Value/Benefit Statement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C4673" w14:textId="7D4C81FB" w:rsidR="003431AD" w:rsidRPr="003431AD" w:rsidRDefault="003431AD" w:rsidP="003431AD">
          <w:pPr>
            <w:pStyle w:val="Footer"/>
            <w:rPr>
              <w:rFonts w:ascii="Montserrat" w:hAnsi="Montserrat"/>
              <w:sz w:val="16"/>
              <w:szCs w:val="16"/>
            </w:rPr>
          </w:pPr>
          <w:r w:rsidRPr="003431AD">
            <w:rPr>
              <w:rFonts w:ascii="Montserrat" w:hAnsi="Montserrat"/>
              <w:sz w:val="16"/>
              <w:szCs w:val="16"/>
            </w:rPr>
            <w:t>Review Date: December 202</w:t>
          </w:r>
          <w:r>
            <w:rPr>
              <w:rFonts w:ascii="Montserrat" w:hAnsi="Montserrat"/>
              <w:sz w:val="16"/>
              <w:szCs w:val="16"/>
            </w:rPr>
            <w:t>5</w:t>
          </w:r>
        </w:p>
      </w:tc>
    </w:tr>
    <w:tr w:rsidR="003431AD" w:rsidRPr="003431AD" w14:paraId="1667FAD5" w14:textId="77777777" w:rsidTr="003431AD">
      <w:trPr>
        <w:trHeight w:val="70"/>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0938A" w14:textId="6E786EFE" w:rsidR="003431AD" w:rsidRPr="003431AD" w:rsidRDefault="003431AD" w:rsidP="003431AD">
          <w:pPr>
            <w:pStyle w:val="Footer"/>
            <w:rPr>
              <w:rFonts w:ascii="Montserrat" w:hAnsi="Montserrat"/>
              <w:sz w:val="16"/>
              <w:szCs w:val="16"/>
            </w:rPr>
          </w:pPr>
          <w:r w:rsidRPr="003431AD">
            <w:rPr>
              <w:rFonts w:ascii="Montserrat" w:hAnsi="Montserrat"/>
              <w:sz w:val="16"/>
              <w:szCs w:val="16"/>
            </w:rPr>
            <w:t>Approved Date: December 202</w:t>
          </w:r>
          <w:r>
            <w:rPr>
              <w:rFonts w:ascii="Montserrat" w:hAnsi="Montserrat"/>
              <w:sz w:val="16"/>
              <w:szCs w:val="16"/>
            </w:rPr>
            <w:t>4</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8FABD" w14:textId="7AF87F20" w:rsidR="003431AD" w:rsidRPr="003431AD" w:rsidRDefault="003431AD" w:rsidP="003431AD">
          <w:pPr>
            <w:pStyle w:val="Footer"/>
            <w:rPr>
              <w:rFonts w:ascii="Montserrat" w:hAnsi="Montserrat"/>
              <w:sz w:val="16"/>
              <w:szCs w:val="16"/>
            </w:rPr>
          </w:pPr>
          <w:proofErr w:type="spellStart"/>
          <w:r w:rsidRPr="003431AD">
            <w:rPr>
              <w:rFonts w:ascii="Montserrat" w:hAnsi="Montserrat"/>
              <w:sz w:val="16"/>
              <w:szCs w:val="16"/>
            </w:rPr>
            <w:t>EqIA</w:t>
          </w:r>
          <w:proofErr w:type="spellEnd"/>
          <w:r w:rsidRPr="003431AD">
            <w:rPr>
              <w:rFonts w:ascii="Montserrat" w:hAnsi="Montserrat"/>
              <w:sz w:val="16"/>
              <w:szCs w:val="16"/>
            </w:rPr>
            <w:t xml:space="preserve"> Completed: </w:t>
          </w:r>
          <w:r>
            <w:rPr>
              <w:rFonts w:ascii="Montserrat" w:hAnsi="Montserrat"/>
              <w:sz w:val="16"/>
              <w:szCs w:val="16"/>
            </w:rPr>
            <w:t>n/a</w:t>
          </w:r>
        </w:p>
      </w:tc>
    </w:tr>
    <w:tr w:rsidR="003431AD" w:rsidRPr="003431AD" w14:paraId="26EDDA2B" w14:textId="77777777" w:rsidTr="003431AD">
      <w:trPr>
        <w:trHeight w:val="70"/>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6C83" w14:textId="1D4701C2" w:rsidR="003431AD" w:rsidRPr="003431AD" w:rsidRDefault="003431AD" w:rsidP="003431AD">
          <w:pPr>
            <w:pStyle w:val="Footer"/>
            <w:rPr>
              <w:rFonts w:ascii="Montserrat" w:hAnsi="Montserrat"/>
              <w:sz w:val="16"/>
              <w:szCs w:val="16"/>
            </w:rPr>
          </w:pPr>
          <w:r w:rsidRPr="003431AD">
            <w:rPr>
              <w:rFonts w:ascii="Montserrat" w:hAnsi="Montserrat"/>
              <w:sz w:val="16"/>
              <w:szCs w:val="16"/>
            </w:rPr>
            <w:t>Approved by: Governing Body</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59ABA" w14:textId="77777777" w:rsidR="003431AD" w:rsidRPr="003431AD" w:rsidRDefault="003431AD" w:rsidP="003431AD">
          <w:pPr>
            <w:pStyle w:val="Footer"/>
            <w:rPr>
              <w:rFonts w:ascii="Montserrat" w:hAnsi="Montserrat"/>
              <w:sz w:val="16"/>
              <w:szCs w:val="16"/>
            </w:rPr>
          </w:pPr>
          <w:r w:rsidRPr="003431AD">
            <w:rPr>
              <w:rFonts w:ascii="Montserrat" w:hAnsi="Montserrat"/>
              <w:sz w:val="16"/>
              <w:szCs w:val="16"/>
            </w:rPr>
            <w:t>Monitoring &amp; Evaluation: Governing Body</w:t>
          </w:r>
        </w:p>
      </w:tc>
    </w:tr>
  </w:tbl>
  <w:p w14:paraId="7E9F223C" w14:textId="77777777" w:rsidR="003431AD" w:rsidRDefault="00343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46983" w14:textId="77777777" w:rsidR="00362214" w:rsidRDefault="00362214" w:rsidP="00C5047E">
      <w:pPr>
        <w:spacing w:after="0" w:line="240" w:lineRule="auto"/>
      </w:pPr>
      <w:r>
        <w:separator/>
      </w:r>
    </w:p>
  </w:footnote>
  <w:footnote w:type="continuationSeparator" w:id="0">
    <w:p w14:paraId="1549102F" w14:textId="77777777" w:rsidR="00362214" w:rsidRDefault="00362214" w:rsidP="00C5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73466" w14:textId="6BB8055A" w:rsidR="00C5047E" w:rsidRDefault="00C5047E" w:rsidP="00C5047E">
    <w:pPr>
      <w:pStyle w:val="Header"/>
      <w:tabs>
        <w:tab w:val="left" w:pos="8222"/>
      </w:tabs>
    </w:pPr>
    <w:r>
      <w:rPr>
        <w:noProof/>
      </w:rPr>
      <w:drawing>
        <wp:inline distT="0" distB="0" distL="0" distR="0" wp14:anchorId="4A5F9B71" wp14:editId="6D23F8E7">
          <wp:extent cx="1318260" cy="657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127" cy="664156"/>
                  </a:xfrm>
                  <a:prstGeom prst="rect">
                    <a:avLst/>
                  </a:prstGeom>
                  <a:noFill/>
                  <a:ln>
                    <a:noFill/>
                  </a:ln>
                </pic:spPr>
              </pic:pic>
            </a:graphicData>
          </a:graphic>
        </wp:inline>
      </w:drawing>
    </w:r>
  </w:p>
  <w:p w14:paraId="6AFE9D7D" w14:textId="77777777" w:rsidR="00C5047E" w:rsidRDefault="00C50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71969"/>
    <w:multiLevelType w:val="multilevel"/>
    <w:tmpl w:val="0C70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7E"/>
    <w:rsid w:val="00101EC3"/>
    <w:rsid w:val="003431AD"/>
    <w:rsid w:val="00362214"/>
    <w:rsid w:val="0082638A"/>
    <w:rsid w:val="00916F56"/>
    <w:rsid w:val="00993FC4"/>
    <w:rsid w:val="00C50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EE1C"/>
  <w15:chartTrackingRefBased/>
  <w15:docId w15:val="{3A395A28-C408-4835-A61F-0A668CC0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7E"/>
    <w:pPr>
      <w:spacing w:after="260" w:line="288"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4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50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4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956">
      <w:bodyDiv w:val="1"/>
      <w:marLeft w:val="0"/>
      <w:marRight w:val="0"/>
      <w:marTop w:val="0"/>
      <w:marBottom w:val="0"/>
      <w:divBdr>
        <w:top w:val="none" w:sz="0" w:space="0" w:color="auto"/>
        <w:left w:val="none" w:sz="0" w:space="0" w:color="auto"/>
        <w:bottom w:val="none" w:sz="0" w:space="0" w:color="auto"/>
        <w:right w:val="none" w:sz="0" w:space="0" w:color="auto"/>
      </w:divBdr>
    </w:div>
    <w:div w:id="17398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1569</Characters>
  <Application>Microsoft Office Word</Application>
  <DocSecurity>0</DocSecurity>
  <Lines>13</Lines>
  <Paragraphs>3</Paragraphs>
  <ScaleCrop>false</ScaleCrop>
  <Company>Petroc</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Boardman, Joanna</dc:creator>
  <cp:keywords/>
  <dc:description/>
  <cp:lastModifiedBy>Farmery, Alex</cp:lastModifiedBy>
  <cp:revision>4</cp:revision>
  <dcterms:created xsi:type="dcterms:W3CDTF">2024-12-17T10:16:00Z</dcterms:created>
  <dcterms:modified xsi:type="dcterms:W3CDTF">2024-12-17T12:08:00Z</dcterms:modified>
</cp:coreProperties>
</file>